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AE0B" w14:textId="77777777" w:rsidR="00C36F1C" w:rsidRDefault="00000000">
      <w:r>
        <w:rPr>
          <w:b/>
          <w:bCs/>
          <w:sz w:val="24"/>
        </w:rPr>
        <w:t>DECRETO Nº 026/2023</w:t>
      </w:r>
      <w:r>
        <w:rPr>
          <w:sz w:val="24"/>
        </w:rPr>
        <w:t xml:space="preserve">, </w:t>
      </w:r>
      <w:r>
        <w:rPr>
          <w:b/>
          <w:sz w:val="24"/>
        </w:rPr>
        <w:t>de 26 de janeiro de 2023.</w:t>
      </w:r>
    </w:p>
    <w:p w14:paraId="4B32AD38" w14:textId="77777777" w:rsidR="00C36F1C" w:rsidRDefault="00C36F1C">
      <w:pPr>
        <w:rPr>
          <w:sz w:val="24"/>
        </w:rPr>
      </w:pPr>
    </w:p>
    <w:p w14:paraId="722C1349" w14:textId="77777777" w:rsidR="00C36F1C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10/2023 do objeto do Processo Licitatório de N° 006/2023 na Modalidade Pregão Eletrônico N° 003/2023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1FECBE79" w14:textId="77777777" w:rsidR="00C36F1C" w:rsidRDefault="00C36F1C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5853F19C" w14:textId="554ACD92" w:rsidR="00C36F1C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</w:t>
      </w:r>
    </w:p>
    <w:p w14:paraId="2768DCB8" w14:textId="77777777" w:rsidR="00C36F1C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7CE839A9" w14:textId="77777777" w:rsidR="00C36F1C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10/2023, sobre o Processo Licitatório N° 006/2023, na Modalidade Pregão Eletrônico Nº 003/2023 que tem por objeto:</w:t>
      </w:r>
      <w:r>
        <w:rPr>
          <w:rFonts w:ascii="Arial" w:hAnsi="Arial" w:cs="Arial"/>
          <w:sz w:val="24"/>
        </w:rPr>
        <w:t xml:space="preserve"> Aquisição De Cestas Básicas Para Serem Distribuídas Em Forma De Auxílio Financeiro Aos Prestadores De Serviço Voluntário Integrante De Família Com Renda </w:t>
      </w:r>
      <w:proofErr w:type="spellStart"/>
      <w:r>
        <w:rPr>
          <w:rFonts w:ascii="Arial" w:hAnsi="Arial" w:cs="Arial"/>
          <w:sz w:val="24"/>
        </w:rPr>
        <w:t>Percapta</w:t>
      </w:r>
      <w:proofErr w:type="spellEnd"/>
      <w:r>
        <w:rPr>
          <w:rFonts w:ascii="Arial" w:hAnsi="Arial" w:cs="Arial"/>
          <w:sz w:val="24"/>
        </w:rPr>
        <w:t xml:space="preserve"> De Até Meio Salário Mínimo, Conforme Autoriza Lei Municipal Nº 1.953/2005, (Alterada Pela Lei   N° 2675/2022).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3F8F8C9" w14:textId="3B2D560C" w:rsidR="00C36F1C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9268EC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580"/>
        <w:gridCol w:w="554"/>
        <w:gridCol w:w="727"/>
        <w:gridCol w:w="2563"/>
        <w:gridCol w:w="1594"/>
        <w:gridCol w:w="687"/>
        <w:gridCol w:w="1100"/>
      </w:tblGrid>
      <w:tr w:rsidR="009268EC" w14:paraId="5375770E" w14:textId="77777777" w:rsidTr="009268EC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E8D" w14:textId="77777777" w:rsidR="009268EC" w:rsidRPr="009268EC" w:rsidRDefault="009268EC" w:rsidP="000D7C1E">
            <w:pPr>
              <w:jc w:val="both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3ECE" w14:textId="77777777" w:rsidR="009268EC" w:rsidRPr="009268EC" w:rsidRDefault="009268EC" w:rsidP="009268EC">
            <w:pPr>
              <w:jc w:val="center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6124" w14:textId="77777777" w:rsidR="009268EC" w:rsidRPr="009268EC" w:rsidRDefault="009268EC" w:rsidP="009268EC">
            <w:pPr>
              <w:jc w:val="center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891A" w14:textId="77777777" w:rsidR="009268EC" w:rsidRPr="009268EC" w:rsidRDefault="009268EC" w:rsidP="009268EC">
            <w:pPr>
              <w:jc w:val="center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Quant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A15C" w14:textId="77777777" w:rsidR="009268EC" w:rsidRPr="009268EC" w:rsidRDefault="009268EC" w:rsidP="000D7C1E">
            <w:pPr>
              <w:jc w:val="both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Produto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418" w14:textId="77777777" w:rsidR="009268EC" w:rsidRPr="009268EC" w:rsidRDefault="009268EC" w:rsidP="009268EC">
            <w:pPr>
              <w:jc w:val="center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Marca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ACA3" w14:textId="77777777" w:rsidR="009268EC" w:rsidRPr="009268EC" w:rsidRDefault="009268EC" w:rsidP="009268EC">
            <w:pPr>
              <w:jc w:val="center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Vl Unit.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D197" w14:textId="77777777" w:rsidR="009268EC" w:rsidRPr="009268EC" w:rsidRDefault="009268EC" w:rsidP="009268EC">
            <w:pPr>
              <w:jc w:val="center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Vl Total Item</w:t>
            </w:r>
          </w:p>
        </w:tc>
      </w:tr>
      <w:tr w:rsidR="009268EC" w14:paraId="27A795F5" w14:textId="77777777" w:rsidTr="009268EC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4CE3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773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F94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349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B6CF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Óleo vegetal comestível, matéria prima soja, aplicação culinária em geral, tipo refinado, 900 ml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C41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COCAMAR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C00E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938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5.280,00</w:t>
            </w:r>
          </w:p>
        </w:tc>
      </w:tr>
      <w:tr w:rsidR="009268EC" w14:paraId="07E4F40F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B1C4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9D45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3D94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49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90AD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Arroz tipo 1, tipo classe longo fino, tipo subgrupo parboilizado, 5 kg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F711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MINUTINHO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3D2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18,30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3780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10.980,00</w:t>
            </w:r>
          </w:p>
        </w:tc>
      </w:tr>
      <w:tr w:rsidR="009268EC" w14:paraId="2686FA12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8CA8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057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5B0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4A66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E964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Açúcar tipo cristal, composição origem vegetal, sacarosi de cana de açúcar, embalagem 5Kg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A65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EURO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A7D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18,50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219B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5.550,00</w:t>
            </w:r>
          </w:p>
        </w:tc>
      </w:tr>
      <w:tr w:rsidR="009268EC" w14:paraId="0936ABB3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5850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AB6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2E5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7B12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3.600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3E00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Leite longa vida, embalagem tetra bick (caixinha), U.H.T,integral 1 litro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6562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TERRA VIVA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434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4,82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0376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17.352,00</w:t>
            </w:r>
          </w:p>
        </w:tc>
      </w:tr>
      <w:tr w:rsidR="009268EC" w14:paraId="6A66DA8D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9FBD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C17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294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1F8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A39B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Sal tipo fino, aplicação alimentícia, teor máximo de sódio 360mg/g, aditivos de iodo, acidez 7,20 PH, pacote 1kg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41E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SALSUL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261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1,40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BB28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420,00</w:t>
            </w:r>
          </w:p>
        </w:tc>
      </w:tr>
      <w:tr w:rsidR="009268EC" w14:paraId="5F78C5C4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3828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FD5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F641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FAEB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0B5F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Café granulado torrado e moído, embalagem vidro,  200 gr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1B0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AMIGO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58A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16,20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323A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4.860,00</w:t>
            </w:r>
          </w:p>
        </w:tc>
      </w:tr>
      <w:tr w:rsidR="009268EC" w14:paraId="516AB969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E338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E37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49C5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09F1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5AAA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Margarina, ingredientes: óleos vegetais, líquidos e hidrogenados, com sal, lecitina de soja, ácido lático, sorbato de potássio e benzoato de sódio, ácido cítrico e bht, sem adição de água, com 75% a 80% de lipídios, 500g.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E5C0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DUALIS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E738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4,40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1B78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1.320,00</w:t>
            </w:r>
          </w:p>
        </w:tc>
      </w:tr>
      <w:tr w:rsidR="009268EC" w14:paraId="1AD7CC66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E3CA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6C6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E28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C5A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E192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Banha tipo in natura, aplicação alimentícia, embalagem 1kg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727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ALIBEM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CDBA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14,20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0168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4.260,00</w:t>
            </w:r>
          </w:p>
        </w:tc>
      </w:tr>
      <w:tr w:rsidR="009268EC" w14:paraId="287D40E3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21D2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5B0B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21A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F67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1.200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5F7C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Carne Frango, Tipo coxa e sobrecoxa, sem dorço, características adicionais, congelado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F350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DIPLOMATA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00A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EB06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9.600,00</w:t>
            </w:r>
          </w:p>
        </w:tc>
      </w:tr>
      <w:tr w:rsidR="009268EC" w14:paraId="2B117914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1A1B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6F3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C43D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37D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31A8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FARINHA DE TRIGO ESPECIAL, tipo 1, embalagem de 05 kg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F237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CLARISSIMA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0F4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18,40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FA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11.040,00</w:t>
            </w:r>
          </w:p>
        </w:tc>
      </w:tr>
      <w:tr w:rsidR="009268EC" w14:paraId="5EB5B9CF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B933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790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E794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F18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B7CB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Doce de fruta sortido, embalagem de 900 gr diversos sabores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AD1A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DASERRA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DCA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7,50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F51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2.250,00</w:t>
            </w:r>
          </w:p>
        </w:tc>
      </w:tr>
      <w:tr w:rsidR="009268EC" w14:paraId="73EF1B43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2737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743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EE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6372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1.200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E31C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MASSA COM OVOS, tipo, PARAFUSO, embalagem de 500 gr (Ingredientes: sêmola de trigo enriquecida com ferro e ácido fólico, ovos e corante naturais (urucum e cúrcuma). Validade mínima de 6 meses a partir da data de entrega do produto, rotulagem contendo informações conforme </w:t>
            </w:r>
            <w:r>
              <w:rPr>
                <w:sz w:val="24"/>
                <w:lang w:val="pt-PT"/>
              </w:rPr>
              <w:lastRenderedPageBreak/>
              <w:t xml:space="preserve">legislação vigente.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62B7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ROSANE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F380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3,30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5A5B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3.960,00</w:t>
            </w:r>
          </w:p>
        </w:tc>
      </w:tr>
      <w:tr w:rsidR="009268EC" w14:paraId="012F9D6E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E11C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CE1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C0F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B7C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CE73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Bolacha sortida, classificação doce, características adicionais sem recheio, 650 g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D43E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PICCININI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066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6,99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40B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4.194,00</w:t>
            </w:r>
          </w:p>
        </w:tc>
      </w:tr>
      <w:tr w:rsidR="009268EC" w14:paraId="108C4F04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39DD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8FE8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743D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05C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035F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BATATA INGLESA GRAUDA, branca, lavada, ótima qualidade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FB57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REAL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EDB2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4,19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8086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3.771,00</w:t>
            </w:r>
          </w:p>
        </w:tc>
      </w:tr>
      <w:tr w:rsidR="009268EC" w14:paraId="2D88B2BD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FC5E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9546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F0D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Dz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997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8AAE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OVOS DE GALINHA, inspecionados, lavados e em ótimo grau de aproveitamento.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247B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CARMINATI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527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7,20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23AE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2.160,00</w:t>
            </w:r>
          </w:p>
        </w:tc>
      </w:tr>
      <w:tr w:rsidR="009268EC" w14:paraId="75ED543A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BF0B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06A8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FFA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3C82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0499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CEBOLA GRAUDA, de ótima qualidade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0BFD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REAL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E1C5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1BF4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2.220,00</w:t>
            </w:r>
          </w:p>
        </w:tc>
      </w:tr>
      <w:tr w:rsidR="009268EC" w14:paraId="6137001E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2730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287E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17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2B4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79B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1DAF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BANANA CATURRA, em ótimo grau de amadurecimento e aproveitamento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63C4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REAL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41F4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2,10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E8E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630,00</w:t>
            </w:r>
          </w:p>
        </w:tc>
      </w:tr>
      <w:tr w:rsidR="009268EC" w14:paraId="037885B1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780F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A645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A891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941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541D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CARNE BOVINA, de primeira qualidade picada, patinho congelado. Embalagens de 1kg. Carne proveniente da espécie bovina, sadios, abatidos sob inspeção sanitária e veterinária constando o número de inscrição SIF ou SIE e manipuladas em condições higiênicas sanitárias. Só será aceito carne de primeira, isenta de vestígios de descongelamento, sem osso, pedaços de nervos, gorduras, cartilagem e aponervose, com cor vermelho vivo e aspecto saudável. Não serão aceitos carne com odor, cor e sabor impróprios ao produto e/ou aspecto amolecido, pegajoso, </w:t>
            </w:r>
            <w:r>
              <w:rPr>
                <w:sz w:val="24"/>
                <w:lang w:val="pt-PT"/>
              </w:rPr>
              <w:lastRenderedPageBreak/>
              <w:t>esverdeado, pardacento, parasitas, larvas e substâncias contaminantes. Deve conter na embalagem identificação do produto: peso, prazo de validade, carim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90C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FRIOESTE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537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35,00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F92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21.000,00</w:t>
            </w:r>
          </w:p>
        </w:tc>
      </w:tr>
      <w:tr w:rsidR="009268EC" w14:paraId="1C7AE519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7FD6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18D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19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A16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ABE3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84A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FEIJÃO PRETO, NOVO, de primeira, com data de validade, embalagem de 01 kg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6AE5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SIVIEIRO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AF22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6,30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59F5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3.780,00</w:t>
            </w:r>
          </w:p>
        </w:tc>
      </w:tr>
      <w:tr w:rsidR="009268EC" w14:paraId="024AD265" w14:textId="77777777" w:rsidTr="009268EC"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A26F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88F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56CA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7259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0E9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MAÇA tipo nacional de tamanho médio e de ótima qualidade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78CC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REAL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EEE5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6,00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974B" w14:textId="77777777" w:rsidR="00C36F1C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1.800,00</w:t>
            </w:r>
          </w:p>
        </w:tc>
      </w:tr>
    </w:tbl>
    <w:p w14:paraId="0B761E5F" w14:textId="77777777" w:rsidR="00C36F1C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9268EC" w14:paraId="41E7CAB9" w14:textId="77777777" w:rsidTr="009268EC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3309" w14:textId="77777777" w:rsidR="009268EC" w:rsidRPr="009268EC" w:rsidRDefault="009268EC" w:rsidP="000D7C1E">
            <w:pPr>
              <w:jc w:val="both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C08E" w14:textId="77777777" w:rsidR="009268EC" w:rsidRPr="009268EC" w:rsidRDefault="009268EC" w:rsidP="000D7C1E">
            <w:pPr>
              <w:jc w:val="both"/>
              <w:rPr>
                <w:sz w:val="24"/>
                <w:lang w:val="pt-PT"/>
              </w:rPr>
            </w:pPr>
            <w:r w:rsidRPr="009268EC">
              <w:rPr>
                <w:sz w:val="24"/>
                <w:lang w:val="pt-PT"/>
              </w:rPr>
              <w:t>Valor Total</w:t>
            </w:r>
          </w:p>
        </w:tc>
      </w:tr>
      <w:tr w:rsidR="00C36F1C" w14:paraId="34AF02EE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4793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SCS COMÉRCIO LTDA EPP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A605" w14:textId="77777777" w:rsidR="00C36F1C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116.427,00</w:t>
            </w:r>
          </w:p>
        </w:tc>
      </w:tr>
    </w:tbl>
    <w:p w14:paraId="39103AA1" w14:textId="77777777" w:rsidR="00C36F1C" w:rsidRDefault="00C36F1C">
      <w:pPr>
        <w:jc w:val="both"/>
        <w:rPr>
          <w:sz w:val="24"/>
          <w:lang w:val="pt-PT"/>
        </w:rPr>
      </w:pPr>
    </w:p>
    <w:p w14:paraId="3EA607FB" w14:textId="77777777" w:rsidR="00C36F1C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028D0BB1" w14:textId="77777777" w:rsidR="00C36F1C" w:rsidRDefault="00C36F1C">
      <w:pPr>
        <w:ind w:firstLine="708"/>
        <w:jc w:val="both"/>
        <w:rPr>
          <w:b/>
          <w:bCs/>
          <w:sz w:val="24"/>
        </w:rPr>
      </w:pPr>
    </w:p>
    <w:p w14:paraId="7806412A" w14:textId="77777777" w:rsidR="00C36F1C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22FEED7C" w14:textId="77777777" w:rsidR="00C36F1C" w:rsidRDefault="00C36F1C">
      <w:pPr>
        <w:ind w:left="3600" w:firstLine="648"/>
        <w:jc w:val="both"/>
        <w:rPr>
          <w:sz w:val="24"/>
        </w:rPr>
      </w:pPr>
    </w:p>
    <w:p w14:paraId="28E976F4" w14:textId="77777777" w:rsidR="00C36F1C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26 de janeiro de 2023.</w:t>
      </w:r>
    </w:p>
    <w:p w14:paraId="1F853E5E" w14:textId="77777777" w:rsidR="00C36F1C" w:rsidRDefault="00C36F1C">
      <w:pPr>
        <w:ind w:left="3600" w:firstLine="648"/>
        <w:jc w:val="both"/>
        <w:rPr>
          <w:b/>
          <w:sz w:val="24"/>
        </w:rPr>
      </w:pPr>
    </w:p>
    <w:p w14:paraId="124DAF97" w14:textId="77777777" w:rsidR="009268EC" w:rsidRDefault="009268EC">
      <w:pPr>
        <w:ind w:left="3600" w:firstLine="648"/>
        <w:jc w:val="both"/>
        <w:rPr>
          <w:sz w:val="24"/>
        </w:rPr>
      </w:pPr>
    </w:p>
    <w:p w14:paraId="4FA06D35" w14:textId="77777777" w:rsidR="00C36F1C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588A72A1" w14:textId="77777777" w:rsidR="00C36F1C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525C654D" w14:textId="77777777" w:rsidR="00C36F1C" w:rsidRDefault="00C36F1C">
      <w:pPr>
        <w:ind w:left="3600" w:firstLine="648"/>
        <w:jc w:val="both"/>
        <w:rPr>
          <w:sz w:val="24"/>
        </w:rPr>
      </w:pPr>
    </w:p>
    <w:p w14:paraId="3DA71A82" w14:textId="77777777" w:rsidR="00C36F1C" w:rsidRDefault="00C36F1C">
      <w:pPr>
        <w:ind w:left="3600" w:firstLine="648"/>
        <w:jc w:val="both"/>
        <w:rPr>
          <w:sz w:val="24"/>
        </w:rPr>
      </w:pPr>
    </w:p>
    <w:p w14:paraId="4EB0B768" w14:textId="77777777" w:rsidR="00C36F1C" w:rsidRDefault="00C36F1C">
      <w:pPr>
        <w:ind w:left="3600" w:firstLine="648"/>
        <w:jc w:val="both"/>
        <w:rPr>
          <w:sz w:val="24"/>
        </w:rPr>
      </w:pPr>
    </w:p>
    <w:p w14:paraId="6C78E3E0" w14:textId="77777777" w:rsidR="00C36F1C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74CAF312" w14:textId="77777777" w:rsidR="00C36F1C" w:rsidRDefault="00C36F1C">
      <w:pPr>
        <w:jc w:val="both"/>
        <w:rPr>
          <w:sz w:val="24"/>
        </w:rPr>
      </w:pPr>
    </w:p>
    <w:p w14:paraId="28DBEC8E" w14:textId="77777777" w:rsidR="00C36F1C" w:rsidRDefault="00C36F1C">
      <w:pPr>
        <w:jc w:val="both"/>
        <w:rPr>
          <w:sz w:val="24"/>
          <w:lang w:val="pt-PT"/>
        </w:rPr>
      </w:pPr>
    </w:p>
    <w:p w14:paraId="180ED689" w14:textId="77777777" w:rsidR="00C36F1C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0C48FC2C" w14:textId="77777777" w:rsidR="00C36F1C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66FED283" w14:textId="77777777" w:rsidR="00C36F1C" w:rsidRDefault="00C36F1C">
      <w:pPr>
        <w:rPr>
          <w:sz w:val="24"/>
        </w:rPr>
      </w:pPr>
    </w:p>
    <w:sectPr w:rsidR="00C36F1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5612" w14:textId="77777777" w:rsidR="008207D6" w:rsidRDefault="008207D6">
      <w:r>
        <w:separator/>
      </w:r>
    </w:p>
  </w:endnote>
  <w:endnote w:type="continuationSeparator" w:id="0">
    <w:p w14:paraId="54712593" w14:textId="77777777" w:rsidR="008207D6" w:rsidRDefault="008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3C50" w14:textId="77777777" w:rsidR="00C36F1C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D309C9C" w14:textId="77777777" w:rsidR="00C36F1C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6CF4D473" w14:textId="77777777" w:rsidR="00C36F1C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0787406F" w14:textId="77777777" w:rsidR="00C36F1C" w:rsidRDefault="00C36F1C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E408" w14:textId="77777777" w:rsidR="00C36F1C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92EED30" w14:textId="77777777" w:rsidR="00C36F1C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384DFB97" w14:textId="77777777" w:rsidR="00C36F1C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2B9AFB1" w14:textId="77777777" w:rsidR="00C36F1C" w:rsidRDefault="00C36F1C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3BE5" w14:textId="77777777" w:rsidR="008207D6" w:rsidRDefault="008207D6">
      <w:r>
        <w:separator/>
      </w:r>
    </w:p>
  </w:footnote>
  <w:footnote w:type="continuationSeparator" w:id="0">
    <w:p w14:paraId="2AAFD147" w14:textId="77777777" w:rsidR="008207D6" w:rsidRDefault="0082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67BB" w14:textId="77777777" w:rsidR="00C36F1C" w:rsidRDefault="00000000">
    <w:pPr>
      <w:pStyle w:val="Cabealho"/>
    </w:pPr>
    <w:r>
      <w:rPr>
        <w:noProof/>
      </w:rPr>
      <w:drawing>
        <wp:inline distT="0" distB="0" distL="0" distR="0" wp14:anchorId="4DEFAC4C" wp14:editId="7EB1C489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329" w14:textId="77777777" w:rsidR="00C36F1C" w:rsidRDefault="00000000">
    <w:pPr>
      <w:pStyle w:val="Cabealho"/>
    </w:pPr>
    <w:r>
      <w:rPr>
        <w:noProof/>
      </w:rPr>
      <w:drawing>
        <wp:inline distT="0" distB="0" distL="0" distR="0" wp14:anchorId="04CDAF50" wp14:editId="61CB4722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F1C"/>
    <w:rsid w:val="008207D6"/>
    <w:rsid w:val="009268EC"/>
    <w:rsid w:val="00C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50F9"/>
  <w15:docId w15:val="{1F61DFD1-4B25-4530-A6DF-8DEA8C3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853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9</cp:revision>
  <cp:lastPrinted>2023-01-26T10:43:00Z</cp:lastPrinted>
  <dcterms:created xsi:type="dcterms:W3CDTF">2021-09-24T16:10:00Z</dcterms:created>
  <dcterms:modified xsi:type="dcterms:W3CDTF">2023-01-26T10:43:00Z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